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74" w:rsidRDefault="00E72B3E" w:rsidP="000B6774">
      <w:pPr>
        <w:spacing w:after="120" w:line="240" w:lineRule="auto"/>
        <w:rPr>
          <w:rFonts w:cstheme="minorHAnsi"/>
          <w:b/>
          <w:color w:val="212121"/>
          <w:sz w:val="24"/>
        </w:rPr>
      </w:pPr>
      <w:r w:rsidRPr="00145755">
        <w:rPr>
          <w:rFonts w:cstheme="minorHAnsi"/>
          <w:b/>
          <w:color w:val="212121"/>
          <w:sz w:val="24"/>
        </w:rPr>
        <w:t>Assessment of automated antibiotic timeout on broad-spectrum antibiotic usage</w:t>
      </w:r>
    </w:p>
    <w:p w:rsidR="00E81905" w:rsidRDefault="00E21674" w:rsidP="000B6774">
      <w:pPr>
        <w:spacing w:after="120" w:line="240" w:lineRule="auto"/>
        <w:rPr>
          <w:rFonts w:cstheme="minorHAnsi"/>
          <w:color w:val="212121"/>
        </w:rPr>
      </w:pPr>
      <w:r>
        <w:rPr>
          <w:rFonts w:cstheme="minorHAnsi"/>
          <w:i/>
          <w:color w:val="212121"/>
        </w:rPr>
        <w:t xml:space="preserve">Presented by </w:t>
      </w:r>
      <w:r w:rsidRPr="00E21674">
        <w:rPr>
          <w:rFonts w:cstheme="minorHAnsi"/>
          <w:color w:val="212121"/>
        </w:rPr>
        <w:t xml:space="preserve">Andrew Fratoni, </w:t>
      </w:r>
      <w:proofErr w:type="spellStart"/>
      <w:r w:rsidRPr="00E21674">
        <w:rPr>
          <w:rFonts w:cstheme="minorHAnsi"/>
          <w:color w:val="212121"/>
        </w:rPr>
        <w:t>PharmD</w:t>
      </w:r>
      <w:proofErr w:type="spellEnd"/>
      <w:r w:rsidRPr="00E21674">
        <w:rPr>
          <w:rFonts w:cstheme="minorHAnsi"/>
          <w:color w:val="212121"/>
        </w:rPr>
        <w:t>, UConn Health John Dempsey Hospital, Farmington, CT</w:t>
      </w:r>
      <w:r>
        <w:rPr>
          <w:rFonts w:cstheme="minorHAnsi"/>
          <w:color w:val="212121"/>
        </w:rPr>
        <w:br/>
      </w:r>
      <w:r>
        <w:rPr>
          <w:rFonts w:cstheme="minorHAnsi"/>
          <w:i/>
          <w:color w:val="212121"/>
        </w:rPr>
        <w:t>Co-a</w:t>
      </w:r>
      <w:r w:rsidR="00E81905" w:rsidRPr="00312C97">
        <w:rPr>
          <w:rFonts w:cstheme="minorHAnsi"/>
          <w:i/>
          <w:color w:val="212121"/>
        </w:rPr>
        <w:t>uthors</w:t>
      </w:r>
      <w:r w:rsidR="00E81905">
        <w:rPr>
          <w:rFonts w:cstheme="minorHAnsi"/>
          <w:color w:val="212121"/>
        </w:rPr>
        <w:t xml:space="preserve">: </w:t>
      </w:r>
      <w:r w:rsidR="00F532BB">
        <w:rPr>
          <w:rFonts w:cstheme="minorHAnsi"/>
          <w:color w:val="212121"/>
        </w:rPr>
        <w:t xml:space="preserve">D. </w:t>
      </w:r>
      <w:proofErr w:type="spellStart"/>
      <w:r w:rsidR="00F532BB">
        <w:rPr>
          <w:rFonts w:cstheme="minorHAnsi"/>
          <w:color w:val="212121"/>
        </w:rPr>
        <w:t>Banach</w:t>
      </w:r>
      <w:proofErr w:type="spellEnd"/>
      <w:r w:rsidR="00F532BB">
        <w:rPr>
          <w:rFonts w:cstheme="minorHAnsi"/>
          <w:color w:val="212121"/>
        </w:rPr>
        <w:t xml:space="preserve">, K. Chamberlin, G. Kuszewski, </w:t>
      </w:r>
      <w:proofErr w:type="gramStart"/>
      <w:r w:rsidR="00F532BB">
        <w:rPr>
          <w:rFonts w:cstheme="minorHAnsi"/>
          <w:color w:val="212121"/>
        </w:rPr>
        <w:t>S</w:t>
      </w:r>
      <w:proofErr w:type="gramEnd"/>
      <w:r w:rsidR="00F532BB">
        <w:rPr>
          <w:rFonts w:cstheme="minorHAnsi"/>
          <w:color w:val="212121"/>
        </w:rPr>
        <w:t>. Patel. UConn Health John Dempsey Hospital, Farmington, C</w:t>
      </w:r>
      <w:r w:rsidR="000B6774">
        <w:rPr>
          <w:rFonts w:cstheme="minorHAnsi"/>
          <w:color w:val="212121"/>
        </w:rPr>
        <w:t>T</w:t>
      </w:r>
    </w:p>
    <w:p w:rsidR="00E72B3E" w:rsidRPr="00601730" w:rsidRDefault="00E81905" w:rsidP="000B6774">
      <w:pPr>
        <w:spacing w:after="120" w:line="240" w:lineRule="auto"/>
        <w:rPr>
          <w:rFonts w:cstheme="minorHAnsi"/>
          <w:color w:val="212121"/>
        </w:rPr>
      </w:pPr>
      <w:r w:rsidRPr="00312C97">
        <w:rPr>
          <w:rFonts w:cstheme="minorHAnsi"/>
          <w:b/>
          <w:caps/>
          <w:color w:val="212121"/>
        </w:rPr>
        <w:t>Objective</w:t>
      </w:r>
      <w:r w:rsidR="000B6774">
        <w:rPr>
          <w:rFonts w:cstheme="minorHAnsi"/>
          <w:b/>
          <w:caps/>
          <w:noProof/>
          <w:color w:val="212121"/>
        </w:rPr>
        <w:drawing>
          <wp:anchor distT="0" distB="0" distL="114300" distR="114300" simplePos="0" relativeHeight="251658240" behindDoc="0" locked="0" layoutInCell="1" allowOverlap="1">
            <wp:simplePos x="1550670" y="1592580"/>
            <wp:positionH relativeFrom="margin">
              <wp:align>right</wp:align>
            </wp:positionH>
            <wp:positionV relativeFrom="margin">
              <wp:align>top</wp:align>
            </wp:positionV>
            <wp:extent cx="1255395" cy="1470660"/>
            <wp:effectExtent l="19050" t="0" r="1905" b="0"/>
            <wp:wrapSquare wrapText="bothSides"/>
            <wp:docPr id="2" name="Picture 0" descr="Capture - Andrew Frat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- Andrew Fraton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97">
        <w:rPr>
          <w:rFonts w:cstheme="minorHAnsi"/>
          <w:color w:val="212121"/>
        </w:rPr>
        <w:br/>
      </w:r>
      <w:r w:rsidR="002476C7" w:rsidRPr="00601730">
        <w:rPr>
          <w:rFonts w:cstheme="minorHAnsi"/>
          <w:color w:val="212121"/>
        </w:rPr>
        <w:t xml:space="preserve">The Centers for Disease Control </w:t>
      </w:r>
      <w:r w:rsidR="00601730" w:rsidRPr="00601730">
        <w:rPr>
          <w:rFonts w:cstheme="minorHAnsi"/>
          <w:color w:val="212121"/>
        </w:rPr>
        <w:t>lists “systemic evaluation of ongoing</w:t>
      </w:r>
      <w:r w:rsidR="00826604">
        <w:rPr>
          <w:rFonts w:cstheme="minorHAnsi"/>
          <w:color w:val="212121"/>
        </w:rPr>
        <w:t xml:space="preserve"> </w:t>
      </w:r>
      <w:r w:rsidR="00601730" w:rsidRPr="00601730">
        <w:rPr>
          <w:rFonts w:cstheme="minorHAnsi"/>
          <w:color w:val="212121"/>
        </w:rPr>
        <w:t>treatment need after a set period of initial treatment”, as a core</w:t>
      </w:r>
      <w:r w:rsidR="00E35F3C">
        <w:rPr>
          <w:rFonts w:cstheme="minorHAnsi"/>
          <w:color w:val="212121"/>
        </w:rPr>
        <w:t xml:space="preserve"> </w:t>
      </w:r>
      <w:r w:rsidR="00601730" w:rsidRPr="00601730">
        <w:rPr>
          <w:rFonts w:cstheme="minorHAnsi"/>
          <w:color w:val="212121"/>
        </w:rPr>
        <w:t xml:space="preserve">element of hospital antibiotic stewardship programs. </w:t>
      </w:r>
      <w:r w:rsidR="00601730">
        <w:rPr>
          <w:rFonts w:cstheme="minorHAnsi"/>
          <w:color w:val="212121"/>
        </w:rPr>
        <w:t>The objective of this quality improvement study was to</w:t>
      </w:r>
      <w:r w:rsidR="002476C7" w:rsidRPr="00601730">
        <w:rPr>
          <w:rFonts w:cstheme="minorHAnsi"/>
          <w:color w:val="212121"/>
        </w:rPr>
        <w:t xml:space="preserve"> determine</w:t>
      </w:r>
      <w:r w:rsidR="002476C7" w:rsidRPr="00601730">
        <w:rPr>
          <w:rFonts w:cstheme="minorHAnsi"/>
          <w:color w:val="222222"/>
        </w:rPr>
        <w:t xml:space="preserve"> the impact of an antibiotic timeout </w:t>
      </w:r>
      <w:r w:rsidR="005C7BC4">
        <w:rPr>
          <w:rFonts w:cstheme="minorHAnsi"/>
          <w:color w:val="222222"/>
        </w:rPr>
        <w:t>clinical decision support advisory</w:t>
      </w:r>
      <w:r w:rsidR="002476C7" w:rsidRPr="00601730">
        <w:rPr>
          <w:rFonts w:cstheme="minorHAnsi"/>
          <w:color w:val="222222"/>
        </w:rPr>
        <w:t xml:space="preserve"> on duration of broad</w:t>
      </w:r>
      <w:r w:rsidR="00E35F3C">
        <w:rPr>
          <w:rFonts w:cstheme="minorHAnsi"/>
          <w:color w:val="222222"/>
        </w:rPr>
        <w:t>-</w:t>
      </w:r>
      <w:r w:rsidR="002476C7" w:rsidRPr="00601730">
        <w:rPr>
          <w:rFonts w:cstheme="minorHAnsi"/>
          <w:color w:val="222222"/>
        </w:rPr>
        <w:t>spectrum antibiotic use</w:t>
      </w:r>
      <w:r w:rsidR="00E655CA">
        <w:rPr>
          <w:rFonts w:cstheme="minorHAnsi"/>
          <w:color w:val="212121"/>
        </w:rPr>
        <w:t>.</w:t>
      </w:r>
    </w:p>
    <w:p w:rsidR="00E35F3C" w:rsidRPr="00E35F3C" w:rsidRDefault="00E72B3E" w:rsidP="000B6774">
      <w:pPr>
        <w:spacing w:after="120" w:line="240" w:lineRule="auto"/>
        <w:rPr>
          <w:rFonts w:cstheme="minorHAnsi"/>
          <w:color w:val="212121"/>
        </w:rPr>
      </w:pPr>
      <w:r w:rsidRPr="00312C97">
        <w:rPr>
          <w:rFonts w:cstheme="minorHAnsi"/>
          <w:b/>
          <w:caps/>
          <w:color w:val="212121"/>
        </w:rPr>
        <w:t>Methods</w:t>
      </w:r>
      <w:r w:rsidR="00145755">
        <w:rPr>
          <w:rFonts w:cstheme="minorHAnsi"/>
          <w:color w:val="212121"/>
        </w:rPr>
        <w:br/>
      </w:r>
      <w:r w:rsidR="00E655CA">
        <w:rPr>
          <w:rFonts w:cstheme="minorHAnsi"/>
          <w:color w:val="212121"/>
        </w:rPr>
        <w:t xml:space="preserve">A report in the electronic medical record identified patients who received </w:t>
      </w:r>
      <w:r w:rsidR="00614312">
        <w:rPr>
          <w:rFonts w:cstheme="minorHAnsi"/>
          <w:color w:val="212121"/>
        </w:rPr>
        <w:t xml:space="preserve">select </w:t>
      </w:r>
      <w:r w:rsidR="00E655CA">
        <w:rPr>
          <w:rFonts w:cstheme="minorHAnsi"/>
          <w:color w:val="212121"/>
        </w:rPr>
        <w:t xml:space="preserve">broad-spectrum antibiotics </w:t>
      </w:r>
      <w:r w:rsidR="00E655CA" w:rsidRPr="00E655CA">
        <w:rPr>
          <w:rFonts w:cstheme="minorHAnsi"/>
          <w:color w:val="212121"/>
        </w:rPr>
        <w:t>(</w:t>
      </w:r>
      <w:proofErr w:type="spellStart"/>
      <w:r w:rsidR="00E655CA" w:rsidRPr="00E655CA">
        <w:rPr>
          <w:rFonts w:cstheme="minorHAnsi"/>
          <w:color w:val="212121"/>
        </w:rPr>
        <w:t>piperacillin-tazobactam</w:t>
      </w:r>
      <w:proofErr w:type="spellEnd"/>
      <w:r w:rsidR="00E655CA" w:rsidRPr="00E655CA">
        <w:rPr>
          <w:rFonts w:cstheme="minorHAnsi"/>
          <w:color w:val="212121"/>
        </w:rPr>
        <w:t>,</w:t>
      </w:r>
      <w:r w:rsidR="00DB7A1A">
        <w:rPr>
          <w:rFonts w:cstheme="minorHAnsi"/>
          <w:color w:val="212121"/>
        </w:rPr>
        <w:t xml:space="preserve"> </w:t>
      </w:r>
      <w:proofErr w:type="spellStart"/>
      <w:r w:rsidR="00E655CA" w:rsidRPr="00E655CA">
        <w:rPr>
          <w:rFonts w:cstheme="minorHAnsi"/>
          <w:color w:val="212121"/>
        </w:rPr>
        <w:t>cefepime</w:t>
      </w:r>
      <w:proofErr w:type="spellEnd"/>
      <w:r w:rsidR="00E655CA" w:rsidRPr="00E655CA">
        <w:rPr>
          <w:rFonts w:cstheme="minorHAnsi"/>
          <w:color w:val="212121"/>
        </w:rPr>
        <w:t xml:space="preserve"> or </w:t>
      </w:r>
      <w:proofErr w:type="spellStart"/>
      <w:r w:rsidR="00E655CA" w:rsidRPr="00E655CA">
        <w:rPr>
          <w:rFonts w:cstheme="minorHAnsi"/>
          <w:color w:val="212121"/>
        </w:rPr>
        <w:t>vancomycin</w:t>
      </w:r>
      <w:proofErr w:type="spellEnd"/>
      <w:r w:rsidR="00E655CA" w:rsidRPr="00E655CA">
        <w:rPr>
          <w:rFonts w:cstheme="minorHAnsi"/>
          <w:color w:val="212121"/>
        </w:rPr>
        <w:t>)</w:t>
      </w:r>
      <w:r w:rsidR="00A23354">
        <w:rPr>
          <w:rFonts w:cstheme="minorHAnsi"/>
          <w:color w:val="212121"/>
        </w:rPr>
        <w:t xml:space="preserve"> from April</w:t>
      </w:r>
      <w:r w:rsidR="00C72C62">
        <w:rPr>
          <w:rFonts w:cstheme="minorHAnsi"/>
          <w:color w:val="212121"/>
        </w:rPr>
        <w:t xml:space="preserve"> </w:t>
      </w:r>
      <w:proofErr w:type="gramStart"/>
      <w:r w:rsidR="00C72C62">
        <w:rPr>
          <w:rFonts w:cstheme="minorHAnsi"/>
          <w:color w:val="212121"/>
        </w:rPr>
        <w:t>1</w:t>
      </w:r>
      <w:r w:rsidR="00C72C62" w:rsidRPr="00C72C62">
        <w:rPr>
          <w:rFonts w:cstheme="minorHAnsi"/>
          <w:color w:val="212121"/>
          <w:vertAlign w:val="superscript"/>
        </w:rPr>
        <w:t>st</w:t>
      </w:r>
      <w:r w:rsidR="00DB7A1A">
        <w:rPr>
          <w:rFonts w:cstheme="minorHAnsi"/>
          <w:color w:val="212121"/>
        </w:rPr>
        <w:t>-</w:t>
      </w:r>
      <w:proofErr w:type="gramEnd"/>
      <w:r w:rsidR="00A23354">
        <w:rPr>
          <w:rFonts w:cstheme="minorHAnsi"/>
          <w:color w:val="212121"/>
        </w:rPr>
        <w:t>June 30</w:t>
      </w:r>
      <w:r w:rsidR="00A23354">
        <w:rPr>
          <w:rFonts w:cstheme="minorHAnsi"/>
          <w:color w:val="212121"/>
          <w:vertAlign w:val="superscript"/>
        </w:rPr>
        <w:t>th</w:t>
      </w:r>
      <w:r w:rsidR="00DB7A1A">
        <w:rPr>
          <w:rFonts w:cstheme="minorHAnsi"/>
          <w:color w:val="212121"/>
        </w:rPr>
        <w:t xml:space="preserve"> of </w:t>
      </w:r>
      <w:r w:rsidR="00A23354">
        <w:rPr>
          <w:rFonts w:cstheme="minorHAnsi"/>
          <w:color w:val="212121"/>
        </w:rPr>
        <w:t>2019</w:t>
      </w:r>
      <w:r w:rsidR="00C72C62">
        <w:rPr>
          <w:rFonts w:cstheme="minorHAnsi"/>
          <w:color w:val="212121"/>
        </w:rPr>
        <w:t>.</w:t>
      </w:r>
      <w:r w:rsidR="00C72C62">
        <w:rPr>
          <w:rFonts w:ascii="Calibri" w:eastAsia="Times New Roman" w:hAnsi="Calibri" w:cs="Calibri"/>
          <w:color w:val="212121"/>
        </w:rPr>
        <w:t xml:space="preserve"> The following data was collected: a</w:t>
      </w:r>
      <w:r w:rsidR="00C72C62" w:rsidRPr="00C72C62">
        <w:rPr>
          <w:rFonts w:ascii="Calibri" w:eastAsia="Times New Roman" w:hAnsi="Calibri" w:cs="Calibri"/>
          <w:color w:val="212121"/>
        </w:rPr>
        <w:t xml:space="preserve">ge, </w:t>
      </w:r>
      <w:r w:rsidR="00C72C62">
        <w:rPr>
          <w:rFonts w:ascii="Calibri" w:eastAsia="Times New Roman" w:hAnsi="Calibri" w:cs="Calibri"/>
          <w:color w:val="212121"/>
        </w:rPr>
        <w:t>s</w:t>
      </w:r>
      <w:r w:rsidR="00C72C62" w:rsidRPr="00C72C62">
        <w:rPr>
          <w:rFonts w:ascii="Calibri" w:eastAsia="Times New Roman" w:hAnsi="Calibri" w:cs="Calibri"/>
          <w:color w:val="212121"/>
        </w:rPr>
        <w:t xml:space="preserve">ex, </w:t>
      </w:r>
      <w:r w:rsidR="00C72C62">
        <w:rPr>
          <w:rFonts w:ascii="Calibri" w:eastAsia="Times New Roman" w:hAnsi="Calibri" w:cs="Calibri"/>
          <w:color w:val="212121"/>
        </w:rPr>
        <w:t>d</w:t>
      </w:r>
      <w:r w:rsidR="00C72C62" w:rsidRPr="00C72C62">
        <w:rPr>
          <w:rFonts w:ascii="Calibri" w:eastAsia="Times New Roman" w:hAnsi="Calibri" w:cs="Calibri"/>
          <w:color w:val="212121"/>
        </w:rPr>
        <w:t xml:space="preserve">ate of </w:t>
      </w:r>
      <w:r w:rsidR="00C72C62">
        <w:rPr>
          <w:rFonts w:ascii="Calibri" w:eastAsia="Times New Roman" w:hAnsi="Calibri" w:cs="Calibri"/>
          <w:color w:val="212121"/>
        </w:rPr>
        <w:t>a</w:t>
      </w:r>
      <w:r w:rsidR="00C72C62" w:rsidRPr="00C72C62">
        <w:rPr>
          <w:rFonts w:ascii="Calibri" w:eastAsia="Times New Roman" w:hAnsi="Calibri" w:cs="Calibri"/>
          <w:color w:val="212121"/>
        </w:rPr>
        <w:t xml:space="preserve">dmission, </w:t>
      </w:r>
      <w:r w:rsidR="00C72C62">
        <w:rPr>
          <w:rFonts w:ascii="Calibri" w:eastAsia="Times New Roman" w:hAnsi="Calibri" w:cs="Calibri"/>
          <w:color w:val="212121"/>
        </w:rPr>
        <w:t>i</w:t>
      </w:r>
      <w:r w:rsidR="00C72C62" w:rsidRPr="00C72C62">
        <w:rPr>
          <w:rFonts w:ascii="Calibri" w:eastAsia="Times New Roman" w:hAnsi="Calibri" w:cs="Calibri"/>
          <w:color w:val="212121"/>
        </w:rPr>
        <w:t xml:space="preserve">ndication for </w:t>
      </w:r>
      <w:r w:rsidR="00C72C62">
        <w:rPr>
          <w:rFonts w:ascii="Calibri" w:eastAsia="Times New Roman" w:hAnsi="Calibri" w:cs="Calibri"/>
          <w:color w:val="212121"/>
        </w:rPr>
        <w:t>antibiotic</w:t>
      </w:r>
      <w:r w:rsidR="00C72C62" w:rsidRPr="00C72C62">
        <w:rPr>
          <w:rFonts w:ascii="Calibri" w:eastAsia="Times New Roman" w:hAnsi="Calibri" w:cs="Calibri"/>
          <w:color w:val="212121"/>
        </w:rPr>
        <w:t xml:space="preserve">, </w:t>
      </w:r>
      <w:r w:rsidR="00C72C62">
        <w:rPr>
          <w:rFonts w:ascii="Calibri" w:eastAsia="Times New Roman" w:hAnsi="Calibri" w:cs="Calibri"/>
          <w:color w:val="212121"/>
        </w:rPr>
        <w:t>d</w:t>
      </w:r>
      <w:r w:rsidR="00C72C62" w:rsidRPr="00C72C62">
        <w:rPr>
          <w:rFonts w:ascii="Calibri" w:eastAsia="Times New Roman" w:hAnsi="Calibri" w:cs="Calibri"/>
          <w:color w:val="212121"/>
        </w:rPr>
        <w:t xml:space="preserve">ate of </w:t>
      </w:r>
      <w:r w:rsidR="00C72C62">
        <w:rPr>
          <w:rFonts w:ascii="Calibri" w:eastAsia="Times New Roman" w:hAnsi="Calibri" w:cs="Calibri"/>
          <w:color w:val="212121"/>
        </w:rPr>
        <w:t>antibiotic</w:t>
      </w:r>
      <w:r w:rsidR="00C72C62" w:rsidRPr="00C72C62">
        <w:rPr>
          <w:rFonts w:ascii="Calibri" w:eastAsia="Times New Roman" w:hAnsi="Calibri" w:cs="Calibri"/>
          <w:color w:val="212121"/>
        </w:rPr>
        <w:t xml:space="preserve"> order, </w:t>
      </w:r>
      <w:r w:rsidR="00C72C62">
        <w:rPr>
          <w:rFonts w:ascii="Calibri" w:eastAsia="Times New Roman" w:hAnsi="Calibri" w:cs="Calibri"/>
          <w:color w:val="212121"/>
        </w:rPr>
        <w:t>date</w:t>
      </w:r>
      <w:r w:rsidR="00C72C62" w:rsidRPr="00C72C62">
        <w:rPr>
          <w:rFonts w:ascii="Calibri" w:eastAsia="Times New Roman" w:hAnsi="Calibri" w:cs="Calibri"/>
          <w:color w:val="212121"/>
        </w:rPr>
        <w:t xml:space="preserve"> of </w:t>
      </w:r>
      <w:r w:rsidR="00C72C62">
        <w:rPr>
          <w:rFonts w:ascii="Calibri" w:eastAsia="Times New Roman" w:hAnsi="Calibri" w:cs="Calibri"/>
          <w:color w:val="212121"/>
        </w:rPr>
        <w:t>antibiotic</w:t>
      </w:r>
      <w:r w:rsidR="00C72C62" w:rsidRPr="00C72C62">
        <w:rPr>
          <w:rFonts w:ascii="Calibri" w:eastAsia="Times New Roman" w:hAnsi="Calibri" w:cs="Calibri"/>
          <w:color w:val="212121"/>
        </w:rPr>
        <w:t xml:space="preserve"> order end, </w:t>
      </w:r>
      <w:r w:rsidR="00C72C62">
        <w:rPr>
          <w:rFonts w:ascii="Calibri" w:eastAsia="Times New Roman" w:hAnsi="Calibri" w:cs="Calibri"/>
          <w:color w:val="212121"/>
        </w:rPr>
        <w:t>and date</w:t>
      </w:r>
      <w:r w:rsidR="00C72C62" w:rsidRPr="00C72C62">
        <w:rPr>
          <w:rFonts w:ascii="Calibri" w:eastAsia="Times New Roman" w:hAnsi="Calibri" w:cs="Calibri"/>
          <w:color w:val="212121"/>
        </w:rPr>
        <w:t xml:space="preserve"> of discharge.</w:t>
      </w:r>
      <w:r w:rsidR="00C72C62">
        <w:rPr>
          <w:rFonts w:ascii="Calibri" w:eastAsia="Times New Roman" w:hAnsi="Calibri" w:cs="Calibri"/>
          <w:color w:val="212121"/>
        </w:rPr>
        <w:t xml:space="preserve"> On </w:t>
      </w:r>
      <w:r w:rsidR="000340C1">
        <w:rPr>
          <w:rFonts w:ascii="Calibri" w:eastAsia="Times New Roman" w:hAnsi="Calibri" w:cs="Calibri"/>
          <w:color w:val="212121"/>
        </w:rPr>
        <w:t>August</w:t>
      </w:r>
      <w:r w:rsidR="00C72C62">
        <w:rPr>
          <w:rFonts w:ascii="Calibri" w:eastAsia="Times New Roman" w:hAnsi="Calibri" w:cs="Calibri"/>
          <w:color w:val="212121"/>
        </w:rPr>
        <w:t xml:space="preserve"> 1</w:t>
      </w:r>
      <w:r w:rsidR="00C72C62" w:rsidRPr="00C72C62">
        <w:rPr>
          <w:rFonts w:ascii="Calibri" w:eastAsia="Times New Roman" w:hAnsi="Calibri" w:cs="Calibri"/>
          <w:color w:val="212121"/>
          <w:vertAlign w:val="superscript"/>
        </w:rPr>
        <w:t>st</w:t>
      </w:r>
      <w:r w:rsidR="00C72C62">
        <w:rPr>
          <w:rFonts w:ascii="Calibri" w:eastAsia="Times New Roman" w:hAnsi="Calibri" w:cs="Calibri"/>
          <w:color w:val="212121"/>
        </w:rPr>
        <w:t xml:space="preserve">, 2019, the Antimicrobial Stewardship Program began </w:t>
      </w:r>
      <w:r w:rsidR="00614312">
        <w:rPr>
          <w:rFonts w:ascii="Calibri" w:eastAsia="Times New Roman" w:hAnsi="Calibri" w:cs="Calibri"/>
          <w:color w:val="212121"/>
        </w:rPr>
        <w:t xml:space="preserve">prompting </w:t>
      </w:r>
      <w:r w:rsidR="00C72C62">
        <w:rPr>
          <w:rFonts w:ascii="Calibri" w:eastAsia="Times New Roman" w:hAnsi="Calibri" w:cs="Calibri"/>
          <w:color w:val="212121"/>
        </w:rPr>
        <w:t xml:space="preserve">providers </w:t>
      </w:r>
      <w:r w:rsidR="00614312">
        <w:rPr>
          <w:rFonts w:ascii="Calibri" w:eastAsia="Times New Roman" w:hAnsi="Calibri" w:cs="Calibri"/>
          <w:color w:val="212121"/>
        </w:rPr>
        <w:t xml:space="preserve">via an electronic alert </w:t>
      </w:r>
      <w:r w:rsidR="00C72C62">
        <w:rPr>
          <w:rFonts w:ascii="Calibri" w:eastAsia="Times New Roman" w:hAnsi="Calibri" w:cs="Calibri"/>
          <w:color w:val="212121"/>
        </w:rPr>
        <w:t xml:space="preserve">to </w:t>
      </w:r>
      <w:r w:rsidR="000340C1">
        <w:rPr>
          <w:rFonts w:ascii="Calibri" w:eastAsia="Times New Roman" w:hAnsi="Calibri" w:cs="Calibri"/>
          <w:color w:val="212121"/>
        </w:rPr>
        <w:t>take an antibiotic timeout</w:t>
      </w:r>
      <w:r w:rsidR="00391D72">
        <w:rPr>
          <w:rFonts w:ascii="Calibri" w:eastAsia="Times New Roman" w:hAnsi="Calibri" w:cs="Calibri"/>
          <w:color w:val="212121"/>
        </w:rPr>
        <w:t xml:space="preserve"> (ATO)</w:t>
      </w:r>
      <w:r w:rsidR="000340C1">
        <w:rPr>
          <w:rFonts w:ascii="Calibri" w:eastAsia="Times New Roman" w:hAnsi="Calibri" w:cs="Calibri"/>
          <w:color w:val="212121"/>
        </w:rPr>
        <w:t xml:space="preserve"> after 72 hours of broad</w:t>
      </w:r>
      <w:r w:rsidR="00E35F3C">
        <w:rPr>
          <w:rFonts w:ascii="Calibri" w:eastAsia="Times New Roman" w:hAnsi="Calibri" w:cs="Calibri"/>
          <w:color w:val="212121"/>
        </w:rPr>
        <w:t>-</w:t>
      </w:r>
      <w:r w:rsidR="000340C1">
        <w:rPr>
          <w:rFonts w:ascii="Calibri" w:eastAsia="Times New Roman" w:hAnsi="Calibri" w:cs="Calibri"/>
          <w:color w:val="212121"/>
        </w:rPr>
        <w:t>spectrum antibiotic use</w:t>
      </w:r>
      <w:r w:rsidR="005C7BC4">
        <w:rPr>
          <w:rFonts w:ascii="Calibri" w:eastAsia="Times New Roman" w:hAnsi="Calibri" w:cs="Calibri"/>
          <w:color w:val="212121"/>
        </w:rPr>
        <w:t xml:space="preserve">.  </w:t>
      </w:r>
      <w:r w:rsidR="000340C1">
        <w:rPr>
          <w:rFonts w:ascii="Calibri" w:eastAsia="Times New Roman" w:hAnsi="Calibri" w:cs="Calibri"/>
          <w:color w:val="212121"/>
        </w:rPr>
        <w:t xml:space="preserve">A </w:t>
      </w:r>
      <w:r w:rsidR="0025025A">
        <w:rPr>
          <w:rFonts w:ascii="Calibri" w:eastAsia="Times New Roman" w:hAnsi="Calibri" w:cs="Calibri"/>
          <w:color w:val="212121"/>
        </w:rPr>
        <w:t>post-</w:t>
      </w:r>
      <w:r w:rsidR="00FC2B66">
        <w:rPr>
          <w:rFonts w:ascii="Calibri" w:eastAsia="Times New Roman" w:hAnsi="Calibri" w:cs="Calibri"/>
          <w:color w:val="212121"/>
        </w:rPr>
        <w:t xml:space="preserve">ATO analysis was completed using identical data points from </w:t>
      </w:r>
      <w:r w:rsidR="000340C1">
        <w:rPr>
          <w:rFonts w:cstheme="minorHAnsi"/>
          <w:color w:val="212121"/>
        </w:rPr>
        <w:t>August 1</w:t>
      </w:r>
      <w:r w:rsidR="000340C1" w:rsidRPr="00C72C62">
        <w:rPr>
          <w:rFonts w:cstheme="minorHAnsi"/>
          <w:color w:val="212121"/>
          <w:vertAlign w:val="superscript"/>
        </w:rPr>
        <w:t>st</w:t>
      </w:r>
      <w:r w:rsidR="00DB7A1A">
        <w:rPr>
          <w:rFonts w:cstheme="minorHAnsi"/>
          <w:color w:val="212121"/>
        </w:rPr>
        <w:t>-</w:t>
      </w:r>
      <w:r w:rsidR="000340C1">
        <w:rPr>
          <w:rFonts w:cstheme="minorHAnsi"/>
          <w:color w:val="212121"/>
        </w:rPr>
        <w:t>October 31</w:t>
      </w:r>
      <w:r w:rsidR="000340C1" w:rsidRPr="00C72C62">
        <w:rPr>
          <w:rFonts w:cstheme="minorHAnsi"/>
          <w:color w:val="212121"/>
          <w:vertAlign w:val="superscript"/>
        </w:rPr>
        <w:t>st</w:t>
      </w:r>
      <w:r w:rsidR="000340C1">
        <w:rPr>
          <w:rFonts w:cstheme="minorHAnsi"/>
          <w:color w:val="212121"/>
        </w:rPr>
        <w:t>, 2019</w:t>
      </w:r>
      <w:r w:rsidR="00FC2B66">
        <w:rPr>
          <w:rFonts w:cstheme="minorHAnsi"/>
          <w:color w:val="212121"/>
        </w:rPr>
        <w:t xml:space="preserve"> </w:t>
      </w:r>
      <w:r w:rsidR="00E35F3C">
        <w:rPr>
          <w:rFonts w:cstheme="minorHAnsi"/>
          <w:color w:val="212121"/>
        </w:rPr>
        <w:t>for comparati</w:t>
      </w:r>
      <w:r w:rsidR="00391D72">
        <w:rPr>
          <w:rFonts w:cstheme="minorHAnsi"/>
          <w:color w:val="212121"/>
        </w:rPr>
        <w:t>ve analysis with the pre-ATO</w:t>
      </w:r>
      <w:r w:rsidR="00E35F3C">
        <w:rPr>
          <w:rFonts w:cstheme="minorHAnsi"/>
          <w:color w:val="212121"/>
        </w:rPr>
        <w:t xml:space="preserve"> data. The </w:t>
      </w:r>
      <w:r w:rsidR="00E35F3C">
        <w:rPr>
          <w:rFonts w:ascii="Calibri" w:hAnsi="Calibri" w:cs="Calibri"/>
          <w:color w:val="000000"/>
        </w:rPr>
        <w:t xml:space="preserve">primary outcome </w:t>
      </w:r>
      <w:r w:rsidR="00E75509">
        <w:rPr>
          <w:rFonts w:ascii="Calibri" w:hAnsi="Calibri" w:cs="Calibri"/>
          <w:color w:val="000000"/>
        </w:rPr>
        <w:t>was</w:t>
      </w:r>
      <w:r w:rsidR="00BA5BEE">
        <w:rPr>
          <w:rFonts w:ascii="Calibri" w:hAnsi="Calibri" w:cs="Calibri"/>
          <w:color w:val="000000"/>
        </w:rPr>
        <w:t xml:space="preserve"> average</w:t>
      </w:r>
      <w:r w:rsidR="00E35F3C">
        <w:rPr>
          <w:rFonts w:ascii="Calibri" w:hAnsi="Calibri" w:cs="Calibri"/>
          <w:color w:val="000000"/>
        </w:rPr>
        <w:t xml:space="preserve"> duration of therapy </w:t>
      </w:r>
      <w:r w:rsidR="00FC2B66">
        <w:rPr>
          <w:rFonts w:ascii="Calibri" w:hAnsi="Calibri" w:cs="Calibri"/>
          <w:color w:val="000000"/>
        </w:rPr>
        <w:t>for broad-</w:t>
      </w:r>
      <w:r w:rsidR="005249A9">
        <w:rPr>
          <w:rFonts w:ascii="Calibri" w:hAnsi="Calibri" w:cs="Calibri"/>
          <w:color w:val="000000"/>
        </w:rPr>
        <w:t>spectrum antibiotics</w:t>
      </w:r>
      <w:r w:rsidR="00E35F3C">
        <w:rPr>
          <w:rFonts w:ascii="Calibri" w:hAnsi="Calibri" w:cs="Calibri"/>
          <w:color w:val="000000"/>
        </w:rPr>
        <w:t xml:space="preserve"> with secondary outcomes: </w:t>
      </w:r>
      <w:r w:rsidR="00E75509">
        <w:rPr>
          <w:rFonts w:ascii="Calibri" w:hAnsi="Calibri" w:cs="Calibri"/>
          <w:color w:val="000000"/>
        </w:rPr>
        <w:t xml:space="preserve">hospital </w:t>
      </w:r>
      <w:r w:rsidR="00E35F3C">
        <w:rPr>
          <w:rFonts w:ascii="Calibri" w:hAnsi="Calibri" w:cs="Calibri"/>
          <w:color w:val="000000"/>
        </w:rPr>
        <w:t xml:space="preserve">length of stay, and </w:t>
      </w:r>
      <w:r w:rsidR="005249A9">
        <w:rPr>
          <w:rFonts w:ascii="Calibri" w:hAnsi="Calibri" w:cs="Calibri"/>
          <w:color w:val="000000"/>
        </w:rPr>
        <w:t>number of</w:t>
      </w:r>
      <w:r w:rsidR="00FC2B66">
        <w:rPr>
          <w:rFonts w:ascii="Calibri" w:hAnsi="Calibri" w:cs="Calibri"/>
          <w:color w:val="000000"/>
        </w:rPr>
        <w:t xml:space="preserve"> broad-</w:t>
      </w:r>
      <w:r w:rsidR="005249A9">
        <w:rPr>
          <w:rFonts w:ascii="Calibri" w:hAnsi="Calibri" w:cs="Calibri"/>
          <w:color w:val="000000"/>
        </w:rPr>
        <w:t>spectrum antibiotics with a duration greater than 96 hours</w:t>
      </w:r>
      <w:r w:rsidR="002340F1">
        <w:rPr>
          <w:rFonts w:ascii="Calibri" w:hAnsi="Calibri" w:cs="Calibri"/>
          <w:color w:val="000000"/>
        </w:rPr>
        <w:t>.</w:t>
      </w:r>
      <w:r w:rsidR="005C7BC4">
        <w:rPr>
          <w:rFonts w:ascii="Calibri" w:hAnsi="Calibri" w:cs="Calibri"/>
          <w:color w:val="000000"/>
        </w:rPr>
        <w:t xml:space="preserve">  It was determined that 251 patient</w:t>
      </w:r>
      <w:r w:rsidR="00DB7A1A">
        <w:rPr>
          <w:rFonts w:ascii="Calibri" w:hAnsi="Calibri" w:cs="Calibri"/>
          <w:color w:val="000000"/>
        </w:rPr>
        <w:t>s per treatment arm would yield</w:t>
      </w:r>
      <w:r w:rsidR="005C7BC4">
        <w:rPr>
          <w:rFonts w:ascii="Calibri" w:hAnsi="Calibri" w:cs="Calibri"/>
          <w:color w:val="000000"/>
        </w:rPr>
        <w:t xml:space="preserve"> 80 percent power</w:t>
      </w:r>
      <w:r w:rsidR="00DB7A1A">
        <w:rPr>
          <w:rFonts w:ascii="Calibri" w:hAnsi="Calibri" w:cs="Calibri"/>
          <w:color w:val="000000"/>
        </w:rPr>
        <w:t xml:space="preserve"> to detect a 1 day difference in average </w:t>
      </w:r>
      <w:r w:rsidR="0025025A">
        <w:rPr>
          <w:rFonts w:ascii="Calibri" w:hAnsi="Calibri" w:cs="Calibri"/>
          <w:color w:val="000000"/>
        </w:rPr>
        <w:t>duration</w:t>
      </w:r>
      <w:r w:rsidR="00DB7A1A">
        <w:rPr>
          <w:rFonts w:ascii="Calibri" w:hAnsi="Calibri" w:cs="Calibri"/>
          <w:color w:val="000000"/>
        </w:rPr>
        <w:t xml:space="preserve"> of broad-spectrum antibio</w:t>
      </w:r>
      <w:r w:rsidR="0025025A">
        <w:rPr>
          <w:rFonts w:ascii="Calibri" w:hAnsi="Calibri" w:cs="Calibri"/>
          <w:color w:val="000000"/>
        </w:rPr>
        <w:t>tics with 95 percent confidence</w:t>
      </w:r>
      <w:r w:rsidR="00DB7A1A">
        <w:rPr>
          <w:rFonts w:ascii="Calibri" w:hAnsi="Calibri" w:cs="Calibri"/>
          <w:color w:val="000000"/>
        </w:rPr>
        <w:t>.</w:t>
      </w:r>
      <w:r w:rsidR="00F532BB">
        <w:rPr>
          <w:rFonts w:ascii="Calibri" w:hAnsi="Calibri" w:cs="Calibri"/>
          <w:color w:val="000000"/>
        </w:rPr>
        <w:t xml:space="preserve"> A descriptive analysis of provider response to the alert </w:t>
      </w:r>
      <w:r w:rsidR="000A2E6B">
        <w:rPr>
          <w:rFonts w:ascii="Calibri" w:hAnsi="Calibri" w:cs="Calibri"/>
          <w:color w:val="000000"/>
        </w:rPr>
        <w:t>from August 1</w:t>
      </w:r>
      <w:r w:rsidR="000A2E6B" w:rsidRPr="000A2E6B">
        <w:rPr>
          <w:rFonts w:ascii="Calibri" w:hAnsi="Calibri" w:cs="Calibri"/>
          <w:color w:val="000000"/>
          <w:vertAlign w:val="superscript"/>
        </w:rPr>
        <w:t>st</w:t>
      </w:r>
      <w:r w:rsidR="000A2E6B">
        <w:rPr>
          <w:rFonts w:ascii="Calibri" w:hAnsi="Calibri" w:cs="Calibri"/>
          <w:color w:val="000000"/>
        </w:rPr>
        <w:t>, 2019 to December 31</w:t>
      </w:r>
      <w:r w:rsidR="000A2E6B" w:rsidRPr="000A2E6B">
        <w:rPr>
          <w:rFonts w:ascii="Calibri" w:hAnsi="Calibri" w:cs="Calibri"/>
          <w:color w:val="000000"/>
          <w:vertAlign w:val="superscript"/>
        </w:rPr>
        <w:t>st</w:t>
      </w:r>
      <w:r w:rsidR="000A2E6B">
        <w:rPr>
          <w:rFonts w:ascii="Calibri" w:hAnsi="Calibri" w:cs="Calibri"/>
          <w:color w:val="000000"/>
        </w:rPr>
        <w:t>, 2019 was completed.</w:t>
      </w:r>
    </w:p>
    <w:p w:rsidR="00E72B3E" w:rsidRPr="00601730" w:rsidRDefault="00E72B3E" w:rsidP="000B6774">
      <w:pPr>
        <w:spacing w:after="120" w:line="240" w:lineRule="auto"/>
        <w:rPr>
          <w:rFonts w:cstheme="minorHAnsi"/>
          <w:color w:val="212121"/>
        </w:rPr>
      </w:pPr>
      <w:r w:rsidRPr="00312C97">
        <w:rPr>
          <w:rFonts w:cstheme="minorHAnsi"/>
          <w:b/>
          <w:caps/>
          <w:color w:val="212121"/>
        </w:rPr>
        <w:t>Results</w:t>
      </w:r>
      <w:r w:rsidR="00312C97">
        <w:rPr>
          <w:rFonts w:cstheme="minorHAnsi"/>
          <w:color w:val="212121"/>
        </w:rPr>
        <w:br/>
      </w:r>
      <w:proofErr w:type="gramStart"/>
      <w:r w:rsidR="00E75509">
        <w:rPr>
          <w:rFonts w:cstheme="minorHAnsi"/>
          <w:color w:val="212121"/>
        </w:rPr>
        <w:t>We</w:t>
      </w:r>
      <w:proofErr w:type="gramEnd"/>
      <w:r w:rsidR="00E75509">
        <w:rPr>
          <w:rFonts w:cstheme="minorHAnsi"/>
          <w:color w:val="212121"/>
        </w:rPr>
        <w:t xml:space="preserve"> assessed</w:t>
      </w:r>
      <w:r w:rsidR="00E67803">
        <w:rPr>
          <w:rFonts w:cstheme="minorHAnsi"/>
          <w:color w:val="212121"/>
        </w:rPr>
        <w:t xml:space="preserve"> 300 broad spectrum antibiotic courses in each arm.</w:t>
      </w:r>
      <w:r w:rsidR="00391D72">
        <w:rPr>
          <w:rFonts w:cstheme="minorHAnsi"/>
          <w:color w:val="212121"/>
        </w:rPr>
        <w:t xml:space="preserve">  The mean duration of broad spectrum antibiotics was not significantly different between the pre-ATO (68.80 hrs) and post-ATO (65.69 hrs) groups (p=0.076)</w:t>
      </w:r>
      <w:r w:rsidR="0079565F">
        <w:rPr>
          <w:rFonts w:cstheme="minorHAnsi"/>
          <w:color w:val="212121"/>
        </w:rPr>
        <w:t>.</w:t>
      </w:r>
      <w:r w:rsidR="00723900">
        <w:rPr>
          <w:rFonts w:cstheme="minorHAnsi"/>
          <w:color w:val="212121"/>
        </w:rPr>
        <w:t xml:space="preserve">  Hospital length of stay was not significantly different between the pre-ATO</w:t>
      </w:r>
      <w:r w:rsidR="00C211B5">
        <w:rPr>
          <w:rFonts w:cstheme="minorHAnsi"/>
          <w:color w:val="212121"/>
        </w:rPr>
        <w:t xml:space="preserve"> (9 days</w:t>
      </w:r>
      <w:r w:rsidR="00723900">
        <w:rPr>
          <w:rFonts w:cstheme="minorHAnsi"/>
          <w:color w:val="212121"/>
        </w:rPr>
        <w:t>) and post-ATO</w:t>
      </w:r>
      <w:r w:rsidR="00C211B5">
        <w:rPr>
          <w:rFonts w:cstheme="minorHAnsi"/>
          <w:color w:val="212121"/>
        </w:rPr>
        <w:t xml:space="preserve"> (7 days</w:t>
      </w:r>
      <w:r w:rsidR="00723900">
        <w:rPr>
          <w:rFonts w:cstheme="minorHAnsi"/>
          <w:color w:val="212121"/>
        </w:rPr>
        <w:t>) groups</w:t>
      </w:r>
      <w:r w:rsidR="00183016">
        <w:rPr>
          <w:rFonts w:cstheme="minorHAnsi"/>
          <w:color w:val="212121"/>
        </w:rPr>
        <w:t xml:space="preserve"> (p=0.468</w:t>
      </w:r>
      <w:r w:rsidR="00723900">
        <w:rPr>
          <w:rFonts w:cstheme="minorHAnsi"/>
          <w:color w:val="212121"/>
        </w:rPr>
        <w:t>)</w:t>
      </w:r>
      <w:r w:rsidR="00E81905">
        <w:rPr>
          <w:rFonts w:cstheme="minorHAnsi"/>
          <w:color w:val="212121"/>
        </w:rPr>
        <w:t>.</w:t>
      </w:r>
      <w:r w:rsidR="00723900">
        <w:rPr>
          <w:rFonts w:cstheme="minorHAnsi"/>
          <w:color w:val="212121"/>
        </w:rPr>
        <w:t xml:space="preserve"> </w:t>
      </w:r>
      <w:r w:rsidR="0079565F">
        <w:rPr>
          <w:rFonts w:cstheme="minorHAnsi"/>
          <w:color w:val="212121"/>
        </w:rPr>
        <w:t xml:space="preserve"> </w:t>
      </w:r>
      <w:r w:rsidR="005249A9">
        <w:rPr>
          <w:rFonts w:cstheme="minorHAnsi"/>
          <w:color w:val="212121"/>
        </w:rPr>
        <w:t>No significant difference was</w:t>
      </w:r>
      <w:r w:rsidR="0013046F">
        <w:rPr>
          <w:rFonts w:cstheme="minorHAnsi"/>
          <w:color w:val="212121"/>
        </w:rPr>
        <w:t xml:space="preserve"> found between the number of </w:t>
      </w:r>
      <w:r w:rsidR="00FC2B66">
        <w:rPr>
          <w:rFonts w:cstheme="minorHAnsi"/>
          <w:color w:val="212121"/>
        </w:rPr>
        <w:t xml:space="preserve">broad-spectrum </w:t>
      </w:r>
      <w:r w:rsidR="0013046F">
        <w:rPr>
          <w:rFonts w:cstheme="minorHAnsi"/>
          <w:color w:val="212121"/>
        </w:rPr>
        <w:t xml:space="preserve">antibiotic courses with duration greater than 96 hours before and after ATO implementation. </w:t>
      </w:r>
      <w:r w:rsidR="000A2E6B">
        <w:rPr>
          <w:rFonts w:cstheme="minorHAnsi"/>
          <w:color w:val="212121"/>
        </w:rPr>
        <w:t xml:space="preserve">The descriptive analysis of provider response revealed that the ATO fired 11,974 times over the 5 month period. </w:t>
      </w:r>
    </w:p>
    <w:p w:rsidR="00E72B3E" w:rsidRPr="00601730" w:rsidRDefault="00E72B3E" w:rsidP="000B6774">
      <w:pPr>
        <w:spacing w:after="120" w:line="240" w:lineRule="auto"/>
        <w:rPr>
          <w:rFonts w:cstheme="minorHAnsi"/>
        </w:rPr>
      </w:pPr>
      <w:r w:rsidRPr="00312C97">
        <w:rPr>
          <w:rFonts w:cstheme="minorHAnsi"/>
          <w:b/>
          <w:caps/>
          <w:color w:val="212121"/>
        </w:rPr>
        <w:t>Conclusions</w:t>
      </w:r>
      <w:r w:rsidR="00312C97">
        <w:rPr>
          <w:rFonts w:cstheme="minorHAnsi"/>
          <w:color w:val="212121"/>
        </w:rPr>
        <w:br/>
      </w:r>
      <w:proofErr w:type="gramStart"/>
      <w:r w:rsidR="0025025A">
        <w:rPr>
          <w:rFonts w:cstheme="minorHAnsi"/>
          <w:color w:val="212121"/>
        </w:rPr>
        <w:t>Our</w:t>
      </w:r>
      <w:proofErr w:type="gramEnd"/>
      <w:r w:rsidR="0025025A">
        <w:rPr>
          <w:rFonts w:cstheme="minorHAnsi"/>
          <w:color w:val="212121"/>
        </w:rPr>
        <w:t xml:space="preserve"> academic medical center</w:t>
      </w:r>
      <w:r w:rsidR="00E81905">
        <w:rPr>
          <w:rFonts w:cstheme="minorHAnsi"/>
          <w:color w:val="212121"/>
        </w:rPr>
        <w:t xml:space="preserve"> is meeting a core element of hospital antibiotic stewa</w:t>
      </w:r>
      <w:r w:rsidR="00537218">
        <w:rPr>
          <w:rFonts w:cstheme="minorHAnsi"/>
          <w:color w:val="212121"/>
        </w:rPr>
        <w:t>rdship programs by utilizing an</w:t>
      </w:r>
      <w:r w:rsidR="00E81905">
        <w:rPr>
          <w:rFonts w:cstheme="minorHAnsi"/>
          <w:color w:val="212121"/>
        </w:rPr>
        <w:t xml:space="preserve"> ATO, but the available data does not yet support its ability to limit the duratio</w:t>
      </w:r>
      <w:r w:rsidR="00537218">
        <w:rPr>
          <w:rFonts w:cstheme="minorHAnsi"/>
          <w:color w:val="212121"/>
        </w:rPr>
        <w:t>n of broad-spectrum antibiotics. Optimizations have been made to the ATO</w:t>
      </w:r>
      <w:r w:rsidR="00456AA9">
        <w:rPr>
          <w:rFonts w:cstheme="minorHAnsi"/>
          <w:color w:val="212121"/>
        </w:rPr>
        <w:t xml:space="preserve"> to hopefully limit alert fatigue and increase effectiveness,</w:t>
      </w:r>
      <w:r w:rsidR="00537218">
        <w:rPr>
          <w:rFonts w:cstheme="minorHAnsi"/>
          <w:color w:val="212121"/>
        </w:rPr>
        <w:t xml:space="preserve"> and a future reanalysis is warranted. </w:t>
      </w:r>
      <w:bookmarkStart w:id="0" w:name="_GoBack"/>
      <w:bookmarkEnd w:id="0"/>
    </w:p>
    <w:sectPr w:rsidR="00E72B3E" w:rsidRPr="00601730" w:rsidSect="00A5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B3E"/>
    <w:rsid w:val="00024BD1"/>
    <w:rsid w:val="000340C1"/>
    <w:rsid w:val="0008066D"/>
    <w:rsid w:val="000A2E6B"/>
    <w:rsid w:val="000B6774"/>
    <w:rsid w:val="00114AB6"/>
    <w:rsid w:val="0013046F"/>
    <w:rsid w:val="00145755"/>
    <w:rsid w:val="00183016"/>
    <w:rsid w:val="002340F1"/>
    <w:rsid w:val="002476C7"/>
    <w:rsid w:val="0025025A"/>
    <w:rsid w:val="00312C97"/>
    <w:rsid w:val="0038395D"/>
    <w:rsid w:val="00391D72"/>
    <w:rsid w:val="00413CA8"/>
    <w:rsid w:val="00456AA9"/>
    <w:rsid w:val="005249A9"/>
    <w:rsid w:val="00537218"/>
    <w:rsid w:val="005C7BC4"/>
    <w:rsid w:val="00601730"/>
    <w:rsid w:val="00614312"/>
    <w:rsid w:val="006C525C"/>
    <w:rsid w:val="006E0455"/>
    <w:rsid w:val="00723900"/>
    <w:rsid w:val="007945E0"/>
    <w:rsid w:val="0079565F"/>
    <w:rsid w:val="00826604"/>
    <w:rsid w:val="008F6828"/>
    <w:rsid w:val="00950E1F"/>
    <w:rsid w:val="00A23354"/>
    <w:rsid w:val="00A53239"/>
    <w:rsid w:val="00AE4018"/>
    <w:rsid w:val="00BA5BEE"/>
    <w:rsid w:val="00C211B5"/>
    <w:rsid w:val="00C44A70"/>
    <w:rsid w:val="00C72C62"/>
    <w:rsid w:val="00CC7085"/>
    <w:rsid w:val="00DB7A1A"/>
    <w:rsid w:val="00E21674"/>
    <w:rsid w:val="00E35F3C"/>
    <w:rsid w:val="00E655CA"/>
    <w:rsid w:val="00E67803"/>
    <w:rsid w:val="00E72B3E"/>
    <w:rsid w:val="00E75509"/>
    <w:rsid w:val="00E81905"/>
    <w:rsid w:val="00F532BB"/>
    <w:rsid w:val="00FA681B"/>
    <w:rsid w:val="00F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0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A1A6-4C3B-43F0-BC12-E7CBE961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Fratoni</dc:creator>
  <cp:lastModifiedBy>soken</cp:lastModifiedBy>
  <cp:revision>2</cp:revision>
  <dcterms:created xsi:type="dcterms:W3CDTF">2020-06-12T17:38:00Z</dcterms:created>
  <dcterms:modified xsi:type="dcterms:W3CDTF">2020-06-12T17:38:00Z</dcterms:modified>
</cp:coreProperties>
</file>